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BDBD2" w14:textId="77777777" w:rsidR="002177DE" w:rsidRDefault="002177DE" w:rsidP="002177DE"/>
    <w:p w14:paraId="0796A4EF" w14:textId="77777777" w:rsidR="002177DE" w:rsidRDefault="002177DE" w:rsidP="002177DE"/>
    <w:tbl>
      <w:tblPr>
        <w:tblStyle w:val="TableGrid"/>
        <w:tblpPr w:leftFromText="180" w:rightFromText="180" w:vertAnchor="page" w:horzAnchor="margin" w:tblpXSpec="center" w:tblpY="1061"/>
        <w:tblW w:w="9382" w:type="dxa"/>
        <w:tblLook w:val="04A0" w:firstRow="1" w:lastRow="0" w:firstColumn="1" w:lastColumn="0" w:noHBand="0" w:noVBand="1"/>
      </w:tblPr>
      <w:tblGrid>
        <w:gridCol w:w="9382"/>
      </w:tblGrid>
      <w:tr w:rsidR="00581EE2" w14:paraId="35A8E6BE" w14:textId="77777777" w:rsidTr="00581EE2">
        <w:tc>
          <w:tcPr>
            <w:tcW w:w="9382" w:type="dxa"/>
          </w:tcPr>
          <w:p w14:paraId="33A7085B" w14:textId="77777777" w:rsidR="00581EE2" w:rsidRPr="001D2117" w:rsidRDefault="00581EE2" w:rsidP="007B7D0A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6209A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  <w:lang w:eastAsia="en-GB"/>
                <w14:ligatures w14:val="none"/>
              </w:rPr>
              <w:t>Platform</w:t>
            </w:r>
          </w:p>
        </w:tc>
      </w:tr>
      <w:tr w:rsidR="00581EE2" w14:paraId="24C92B07" w14:textId="77777777" w:rsidTr="00581EE2">
        <w:tc>
          <w:tcPr>
            <w:tcW w:w="9382" w:type="dxa"/>
          </w:tcPr>
          <w:p w14:paraId="2BA8CC8F" w14:textId="39F8FF2D" w:rsidR="00581EE2" w:rsidRPr="00085493" w:rsidRDefault="00581EE2" w:rsidP="007B7D0A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3403B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 xml:space="preserve">UCAS HUB </w:t>
            </w:r>
            <w:r w:rsidRPr="00EC49C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en-GB"/>
                <w14:ligatures w14:val="none"/>
              </w:rPr>
              <w:t xml:space="preserve">   </w:t>
            </w:r>
            <w:hyperlink r:id="rId8" w:history="1">
              <w:r w:rsidRPr="008A161B">
                <w:rPr>
                  <w:rStyle w:val="Hyperlink"/>
                  <w:rFonts w:ascii="Calibri" w:eastAsia="Times New Roman" w:hAnsi="Calibri" w:cs="Calibri"/>
                  <w:b/>
                  <w:bCs/>
                  <w:kern w:val="0"/>
                  <w:sz w:val="28"/>
                  <w:szCs w:val="28"/>
                  <w:lang w:eastAsia="en-GB"/>
                  <w14:ligatures w14:val="none"/>
                </w:rPr>
                <w:t>https://www.ucas.com/</w:t>
              </w:r>
            </w:hyperlink>
            <w:r w:rsidRPr="00EC49C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en-GB"/>
                <w14:ligatures w14:val="none"/>
              </w:rPr>
              <w:br/>
            </w:r>
          </w:p>
        </w:tc>
      </w:tr>
      <w:tr w:rsidR="00581EE2" w14:paraId="715EB9F8" w14:textId="77777777" w:rsidTr="00581EE2">
        <w:tc>
          <w:tcPr>
            <w:tcW w:w="9382" w:type="dxa"/>
          </w:tcPr>
          <w:p w14:paraId="548460F7" w14:textId="602B4046" w:rsidR="00581EE2" w:rsidRPr="00744AD0" w:rsidRDefault="00744AD0" w:rsidP="007B7D0A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744AD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What they offer to students: </w:t>
            </w:r>
          </w:p>
          <w:p w14:paraId="7588D11F" w14:textId="77777777" w:rsidR="00581EE2" w:rsidRPr="006209AE" w:rsidRDefault="00581EE2" w:rsidP="002177D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209A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Explore full range of options</w:t>
            </w:r>
            <w:r w:rsidRPr="006209A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– research university courses, degree apprenticeships, and other pathways alongside each other. </w:t>
            </w:r>
          </w:p>
          <w:p w14:paraId="1CCB99F6" w14:textId="77777777" w:rsidR="00581EE2" w:rsidRPr="006209AE" w:rsidRDefault="00581EE2" w:rsidP="002177D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209A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Build a personalised dashboard</w:t>
            </w:r>
            <w:r w:rsidRPr="006209A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– track interests and get tailored guidance and content. </w:t>
            </w:r>
          </w:p>
          <w:p w14:paraId="49DE240B" w14:textId="77777777" w:rsidR="00581EE2" w:rsidRPr="006209AE" w:rsidRDefault="00581EE2" w:rsidP="002177D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209A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Use practical tools</w:t>
            </w:r>
            <w:r w:rsidRPr="006209A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– careers quizzes, course search, personal statement builder, tariff calculator, and direct links to apprenticeship applications. </w:t>
            </w:r>
          </w:p>
          <w:p w14:paraId="6A19A43E" w14:textId="77777777" w:rsidR="00581EE2" w:rsidRPr="006209AE" w:rsidRDefault="00581EE2" w:rsidP="002177D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209A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Access bespoke content</w:t>
            </w:r>
            <w:r w:rsidRPr="006209A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– tailored suggestions based on interests and progress. </w:t>
            </w:r>
          </w:p>
          <w:p w14:paraId="74BECE17" w14:textId="77777777" w:rsidR="00581EE2" w:rsidRPr="006209AE" w:rsidRDefault="00581EE2" w:rsidP="007B7D0A">
            <w:pPr>
              <w:spacing w:before="100" w:beforeAutospacing="1" w:after="100" w:afterAutospacing="1"/>
              <w:ind w:left="32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6209A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Springpod</w:t>
            </w:r>
            <w:proofErr w:type="spellEnd"/>
            <w:r w:rsidRPr="006209A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6209A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is an experiential learning platform now integrated into the UCAS Hub that offers </w:t>
            </w:r>
            <w:r w:rsidRPr="006209AE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virtual career and course experiences</w:t>
            </w:r>
            <w:r w:rsidRPr="006209A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to help students explore options before they apply. </w:t>
            </w:r>
            <w:r w:rsidRPr="006209A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r w:rsidRPr="006209A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Virtual Work Experience</w:t>
            </w:r>
          </w:p>
          <w:p w14:paraId="56F533F4" w14:textId="77777777" w:rsidR="00581EE2" w:rsidRPr="006209AE" w:rsidRDefault="00581EE2" w:rsidP="002177D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209A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On-demand immersive experiences with real employers </w:t>
            </w:r>
          </w:p>
          <w:p w14:paraId="17D6EB30" w14:textId="77777777" w:rsidR="00581EE2" w:rsidRPr="006209AE" w:rsidRDefault="00581EE2" w:rsidP="002177D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209A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Includes real workplace tasks, industry insights, expert talks, and interactive projects.</w:t>
            </w:r>
          </w:p>
          <w:p w14:paraId="6FF1C865" w14:textId="77777777" w:rsidR="00581EE2" w:rsidRDefault="00581EE2" w:rsidP="002177D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209A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Certificate of completion is awarded, which can strengthen CVs, personal statements and apprenticeship applications.</w:t>
            </w:r>
            <w:r w:rsidRPr="007C7A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</w:p>
          <w:p w14:paraId="7D61DF5D" w14:textId="0042BB72" w:rsidR="004B5CB6" w:rsidRPr="004B5CB6" w:rsidRDefault="004B5CB6" w:rsidP="004B5CB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B5CB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Subject Spotlights</w:t>
            </w:r>
            <w:r w:rsidRPr="004B5CB6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79F192E8" w14:textId="77777777" w:rsidR="004B5CB6" w:rsidRPr="004B5CB6" w:rsidRDefault="004B5CB6" w:rsidP="004B5CB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B5CB6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Subject Spotlights help students:</w:t>
            </w:r>
          </w:p>
          <w:p w14:paraId="439DC199" w14:textId="77777777" w:rsidR="004B5CB6" w:rsidRPr="004B5CB6" w:rsidRDefault="004B5CB6" w:rsidP="004B5CB6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B5CB6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Explore whether a subject is </w:t>
            </w:r>
            <w:r w:rsidRPr="004B5CB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right for them</w:t>
            </w:r>
          </w:p>
          <w:p w14:paraId="1618D30A" w14:textId="77777777" w:rsidR="004B5CB6" w:rsidRPr="004B5CB6" w:rsidRDefault="004B5CB6" w:rsidP="004B5CB6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B5CB6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Get ideas for </w:t>
            </w:r>
            <w:r w:rsidRPr="004B5CB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super-curricular activities</w:t>
            </w:r>
            <w:r w:rsidRPr="004B5CB6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(reading, podcasts, lectures)</w:t>
            </w:r>
          </w:p>
          <w:p w14:paraId="2B095838" w14:textId="752653A8" w:rsidR="004B5CB6" w:rsidRPr="004B5CB6" w:rsidRDefault="004B5CB6" w:rsidP="004B5CB6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B5CB6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Understand </w:t>
            </w:r>
            <w:r w:rsidRPr="004B5CB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what universities expect from applicants</w:t>
            </w:r>
          </w:p>
        </w:tc>
      </w:tr>
      <w:tr w:rsidR="00581EE2" w14:paraId="3A1F6027" w14:textId="77777777" w:rsidTr="00581EE2">
        <w:trPr>
          <w:trHeight w:val="695"/>
        </w:trPr>
        <w:tc>
          <w:tcPr>
            <w:tcW w:w="9382" w:type="dxa"/>
          </w:tcPr>
          <w:p w14:paraId="5A11461E" w14:textId="7DCFC8B3" w:rsidR="00581EE2" w:rsidRPr="00C002CA" w:rsidRDefault="00581EE2" w:rsidP="007B7D0A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E3403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Pathway CTM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en-GB"/>
                <w14:ligatures w14:val="none"/>
              </w:rPr>
              <w:t xml:space="preserve">   </w:t>
            </w:r>
            <w:hyperlink r:id="rId9" w:history="1">
              <w:r w:rsidRPr="008A161B">
                <w:rPr>
                  <w:rStyle w:val="Hyperlink"/>
                  <w:rFonts w:ascii="Calibri" w:eastAsia="Times New Roman" w:hAnsi="Calibri" w:cs="Calibri"/>
                  <w:b/>
                  <w:bCs/>
                  <w:kern w:val="0"/>
                  <w:sz w:val="28"/>
                  <w:szCs w:val="28"/>
                  <w:lang w:eastAsia="en-GB"/>
                  <w14:ligatures w14:val="none"/>
                </w:rPr>
                <w:t>https://pathwayctm.com/</w:t>
              </w:r>
            </w:hyperlink>
          </w:p>
        </w:tc>
      </w:tr>
      <w:tr w:rsidR="00581EE2" w14:paraId="64CF7F6B" w14:textId="77777777" w:rsidTr="00581EE2">
        <w:tc>
          <w:tcPr>
            <w:tcW w:w="9382" w:type="dxa"/>
          </w:tcPr>
          <w:p w14:paraId="60B89DD8" w14:textId="77777777" w:rsidR="00581EE2" w:rsidRPr="003A6BC8" w:rsidRDefault="00581EE2" w:rsidP="007B7D0A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BC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Support for students includes:</w:t>
            </w:r>
          </w:p>
          <w:p w14:paraId="258C53F8" w14:textId="77777777" w:rsidR="00581EE2" w:rsidRPr="003A6BC8" w:rsidRDefault="00581EE2" w:rsidP="002177D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BC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Live events and workshops</w:t>
            </w:r>
            <w:r w:rsidRPr="003A6BC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with employers — insight into industries and application tips. </w:t>
            </w:r>
          </w:p>
          <w:p w14:paraId="137E052C" w14:textId="77777777" w:rsidR="00581EE2" w:rsidRPr="003A6BC8" w:rsidRDefault="00581EE2" w:rsidP="002177D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BC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Free 1-to-1 mentoring and guidance</w:t>
            </w:r>
            <w:r w:rsidRPr="003A6BC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through the apprenticeship application process. </w:t>
            </w:r>
          </w:p>
          <w:p w14:paraId="649925AD" w14:textId="77777777" w:rsidR="00581EE2" w:rsidRPr="003A6BC8" w:rsidRDefault="00581EE2" w:rsidP="002177D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BC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Access to apprenticeship opportunities</w:t>
            </w:r>
            <w:r w:rsidRPr="003A6BC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all in one place so students can easily find roles to apply for. </w:t>
            </w:r>
          </w:p>
          <w:p w14:paraId="62473CA1" w14:textId="77777777" w:rsidR="00581EE2" w:rsidRPr="003A6BC8" w:rsidRDefault="00581EE2" w:rsidP="002177D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BC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Employability resources</w:t>
            </w:r>
            <w:r w:rsidRPr="003A6BC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— CV templates, interview prep, skills info and more. </w:t>
            </w:r>
          </w:p>
          <w:p w14:paraId="61EDE412" w14:textId="77777777" w:rsidR="00581EE2" w:rsidRPr="003A6BC8" w:rsidRDefault="00581EE2" w:rsidP="007B7D0A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581EE2" w14:paraId="4C9A442C" w14:textId="77777777" w:rsidTr="00581EE2">
        <w:tc>
          <w:tcPr>
            <w:tcW w:w="9382" w:type="dxa"/>
          </w:tcPr>
          <w:p w14:paraId="07581BE5" w14:textId="7200356B" w:rsidR="00581EE2" w:rsidRDefault="00581EE2" w:rsidP="007B7D0A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C1A0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Zero Gravity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hyperlink r:id="rId10" w:history="1">
              <w:r w:rsidR="00744AD0" w:rsidRPr="008442FF">
                <w:rPr>
                  <w:rStyle w:val="Hyperlink"/>
                  <w:rFonts w:ascii="Calibri" w:eastAsia="Times New Roman" w:hAnsi="Calibri" w:cs="Calibri"/>
                  <w:b/>
                  <w:bCs/>
                  <w:kern w:val="0"/>
                  <w:sz w:val="28"/>
                  <w:szCs w:val="28"/>
                  <w:lang w:eastAsia="en-GB"/>
                  <w14:ligatures w14:val="none"/>
                </w:rPr>
                <w:t>https://www.zerogravity.co.uk/</w:t>
              </w:r>
            </w:hyperlink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</w:p>
          <w:p w14:paraId="5A32C282" w14:textId="77777777" w:rsidR="00581EE2" w:rsidRPr="00BC1A0D" w:rsidRDefault="00581EE2" w:rsidP="007B7D0A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581EE2" w14:paraId="0AF39B45" w14:textId="77777777" w:rsidTr="00581EE2">
        <w:trPr>
          <w:trHeight w:val="2250"/>
        </w:trPr>
        <w:tc>
          <w:tcPr>
            <w:tcW w:w="9382" w:type="dxa"/>
          </w:tcPr>
          <w:p w14:paraId="55363781" w14:textId="77777777" w:rsidR="00581EE2" w:rsidRPr="003A6BC8" w:rsidRDefault="00581EE2" w:rsidP="007B7D0A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BC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What they offer:</w:t>
            </w:r>
          </w:p>
          <w:p w14:paraId="1BFC42CE" w14:textId="77777777" w:rsidR="00581EE2" w:rsidRPr="003A6BC8" w:rsidRDefault="00581EE2" w:rsidP="002177D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BC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Mentoring from students who have already succeeded</w:t>
            </w:r>
            <w:r w:rsidRPr="003A6BC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— helps with personal statements, admissions prep, and interview confidence. </w:t>
            </w:r>
          </w:p>
          <w:p w14:paraId="379BA4BD" w14:textId="77777777" w:rsidR="00581EE2" w:rsidRPr="003A6BC8" w:rsidRDefault="00581EE2" w:rsidP="002177D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BC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Live and on-demand learning resources and pathways</w:t>
            </w:r>
            <w:r w:rsidRPr="003A6BC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that support decision-making and application skills. </w:t>
            </w:r>
          </w:p>
          <w:p w14:paraId="690BC092" w14:textId="77777777" w:rsidR="00581EE2" w:rsidRPr="00BC1A0D" w:rsidRDefault="00581EE2" w:rsidP="002177D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BC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Employer networks and apprenticeship guidance</w:t>
            </w:r>
            <w:r w:rsidRPr="003A6BC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— not just university routes, but alternative pathways too.</w:t>
            </w:r>
          </w:p>
        </w:tc>
      </w:tr>
    </w:tbl>
    <w:p w14:paraId="225A9225" w14:textId="77777777" w:rsidR="006C6BC2" w:rsidRDefault="006C6BC2"/>
    <w:tbl>
      <w:tblPr>
        <w:tblStyle w:val="TableGrid"/>
        <w:tblpPr w:leftFromText="180" w:rightFromText="180" w:vertAnchor="text" w:horzAnchor="margin" w:tblpY="126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4F6838" w14:paraId="7B15C0B5" w14:textId="77777777" w:rsidTr="004F6838">
        <w:tc>
          <w:tcPr>
            <w:tcW w:w="9356" w:type="dxa"/>
          </w:tcPr>
          <w:p w14:paraId="0B1D38B9" w14:textId="6B7B2662" w:rsidR="004F6838" w:rsidRPr="00D16DCA" w:rsidRDefault="004F6838" w:rsidP="004F6838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F402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Futures For All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Pr="006C6BC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hyperlink r:id="rId11" w:history="1">
              <w:r w:rsidRPr="008A161B">
                <w:rPr>
                  <w:rStyle w:val="Hyperlink"/>
                  <w:rFonts w:ascii="Calibri" w:eastAsia="Times New Roman" w:hAnsi="Calibri" w:cs="Calibri"/>
                  <w:b/>
                  <w:bCs/>
                  <w:kern w:val="0"/>
                  <w:sz w:val="28"/>
                  <w:szCs w:val="28"/>
                  <w:lang w:eastAsia="en-GB"/>
                  <w14:ligatures w14:val="none"/>
                </w:rPr>
                <w:t>https://www.futuresforall.org/</w:t>
              </w:r>
            </w:hyperlink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en-GB"/>
                <w14:ligatures w14:val="none"/>
              </w:rPr>
              <w:br/>
            </w:r>
          </w:p>
        </w:tc>
      </w:tr>
      <w:tr w:rsidR="004F6838" w14:paraId="0F017C86" w14:textId="77777777" w:rsidTr="004F6838">
        <w:tc>
          <w:tcPr>
            <w:tcW w:w="9356" w:type="dxa"/>
          </w:tcPr>
          <w:p w14:paraId="0C8EE61B" w14:textId="77777777" w:rsidR="004F6838" w:rsidRPr="00BC1A0D" w:rsidRDefault="004F6838" w:rsidP="004F6838">
            <w:pPr>
              <w:pStyle w:val="ListParagraph"/>
              <w:spacing w:before="100" w:beforeAutospacing="1" w:after="100" w:afterAutospacing="1"/>
              <w:ind w:hanging="720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1A0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What they offer to students:</w:t>
            </w:r>
          </w:p>
          <w:p w14:paraId="611E4125" w14:textId="77777777" w:rsidR="004F6838" w:rsidRPr="00BC1A0D" w:rsidRDefault="004F6838" w:rsidP="004F6838">
            <w:pPr>
              <w:pStyle w:val="ListParagraph"/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0B61024" w14:textId="77777777" w:rsidR="004F6838" w:rsidRPr="00BC1A0D" w:rsidRDefault="004F6838" w:rsidP="004F6838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1A0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Work Experience – </w:t>
            </w:r>
            <w:r w:rsidRPr="00BC1A0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Free or fully funded </w:t>
            </w:r>
            <w:r w:rsidRPr="00BC1A0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in-person and online placements.</w:t>
            </w:r>
            <w:r w:rsidRPr="00BC1A0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43961DE7" w14:textId="77777777" w:rsidR="004F6838" w:rsidRPr="00BC1A0D" w:rsidRDefault="004F6838" w:rsidP="004F6838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BC1A0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Inspirational Speaker Events – </w:t>
            </w:r>
            <w:r w:rsidRPr="00BC1A0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Talks and career insights from notable professionals across sectors, helping broaden students’ career horizons. </w:t>
            </w:r>
          </w:p>
          <w:p w14:paraId="7106052D" w14:textId="77777777" w:rsidR="004F6838" w:rsidRPr="00BC1A0D" w:rsidRDefault="004F6838" w:rsidP="004F6838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BC1A0D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Insight Days – </w:t>
            </w:r>
            <w:r w:rsidRPr="00BC1A0D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Shorter immersive days where students get a real feel for specific industries and roles.</w:t>
            </w:r>
          </w:p>
        </w:tc>
      </w:tr>
      <w:tr w:rsidR="004F6838" w14:paraId="36622B39" w14:textId="77777777" w:rsidTr="004F6838">
        <w:tc>
          <w:tcPr>
            <w:tcW w:w="9356" w:type="dxa"/>
          </w:tcPr>
          <w:p w14:paraId="4712C6D1" w14:textId="73DF17CB" w:rsidR="004F6838" w:rsidRPr="00BC1A0D" w:rsidRDefault="004F6838" w:rsidP="004F6838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BC1A0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Success at Schools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Pr="008125E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hyperlink r:id="rId12" w:history="1">
              <w:r w:rsidRPr="008A161B">
                <w:rPr>
                  <w:rStyle w:val="Hyperlink"/>
                  <w:rFonts w:ascii="Calibri" w:eastAsia="Times New Roman" w:hAnsi="Calibri" w:cs="Calibri"/>
                  <w:b/>
                  <w:bCs/>
                  <w:kern w:val="0"/>
                  <w:sz w:val="28"/>
                  <w:szCs w:val="28"/>
                  <w:lang w:eastAsia="en-GB"/>
                  <w14:ligatures w14:val="none"/>
                </w:rPr>
                <w:t>https://successatschool.org/</w:t>
              </w:r>
            </w:hyperlink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br/>
            </w:r>
          </w:p>
        </w:tc>
      </w:tr>
      <w:tr w:rsidR="004F6838" w14:paraId="49F17897" w14:textId="77777777" w:rsidTr="004F6838">
        <w:trPr>
          <w:trHeight w:val="2787"/>
        </w:trPr>
        <w:tc>
          <w:tcPr>
            <w:tcW w:w="9356" w:type="dxa"/>
          </w:tcPr>
          <w:p w14:paraId="6F2107BD" w14:textId="77777777" w:rsidR="004F6838" w:rsidRPr="0021571B" w:rsidRDefault="004F6838" w:rsidP="004F6838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571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What they offer to students:</w:t>
            </w:r>
          </w:p>
          <w:p w14:paraId="6132DC4A" w14:textId="77777777" w:rsidR="004F6838" w:rsidRPr="0021571B" w:rsidRDefault="004F6838" w:rsidP="004F683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571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Mentoring Zone – ‘Ask an Apprentice’ </w:t>
            </w:r>
            <w:r w:rsidRPr="0021571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 - ask questions and get real-world advice from apprentices and other young professionals.</w:t>
            </w:r>
          </w:p>
          <w:p w14:paraId="7739DBD2" w14:textId="77777777" w:rsidR="004F6838" w:rsidRPr="0021571B" w:rsidRDefault="004F6838" w:rsidP="004F683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571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Jobs &amp; Opportunities - </w:t>
            </w:r>
            <w:r w:rsidRPr="0021571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Listings of the </w:t>
            </w:r>
            <w:r w:rsidRPr="0021571B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latest jobs, apprenticeships and school-leaver roles</w:t>
            </w:r>
            <w:r w:rsidRPr="0021571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that students can browse and apply for. </w:t>
            </w:r>
          </w:p>
          <w:p w14:paraId="01B2F86F" w14:textId="77777777" w:rsidR="004F6838" w:rsidRPr="0021571B" w:rsidRDefault="004F6838" w:rsidP="004F683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1571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Employer and University Engagement - </w:t>
            </w:r>
            <w:r w:rsidRPr="0021571B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Connecting students with employers and universities, hosting employer profiles, events, and insight that help young people see what different organisations offer.</w:t>
            </w:r>
            <w:r w:rsidRPr="0021571B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en-GB"/>
                <w14:ligatures w14:val="none"/>
              </w:rPr>
              <w:t>Top of Form</w:t>
            </w:r>
          </w:p>
        </w:tc>
      </w:tr>
      <w:tr w:rsidR="004F6838" w14:paraId="1702C318" w14:textId="77777777" w:rsidTr="004F6838">
        <w:trPr>
          <w:trHeight w:val="506"/>
        </w:trPr>
        <w:tc>
          <w:tcPr>
            <w:tcW w:w="9356" w:type="dxa"/>
          </w:tcPr>
          <w:p w14:paraId="4FAC1086" w14:textId="0773B5FC" w:rsidR="004F6838" w:rsidRPr="00E83F14" w:rsidRDefault="004F6838" w:rsidP="004F6838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E83F1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Unifrog</w:t>
            </w:r>
            <w:proofErr w:type="spellEnd"/>
            <w:r w:rsidRPr="00E83F1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</w:p>
        </w:tc>
      </w:tr>
      <w:tr w:rsidR="004F6838" w14:paraId="66D1B74E" w14:textId="77777777" w:rsidTr="004F6838">
        <w:trPr>
          <w:trHeight w:val="2257"/>
        </w:trPr>
        <w:tc>
          <w:tcPr>
            <w:tcW w:w="9356" w:type="dxa"/>
          </w:tcPr>
          <w:p w14:paraId="7AE0F890" w14:textId="4FC12CCE" w:rsidR="004F6838" w:rsidRPr="004F6838" w:rsidRDefault="004F6838" w:rsidP="004F6838">
            <w:pPr>
              <w:shd w:val="clear" w:color="auto" w:fill="FFFFFF"/>
              <w:spacing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4C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What they offer to students: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744AD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Talent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Pool </w:t>
            </w:r>
            <w:r w:rsidR="00744AD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-</w:t>
            </w:r>
            <w:proofErr w:type="gramEnd"/>
            <w:r w:rsidR="00744AD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ED34C9">
              <w:rPr>
                <w:rFonts w:ascii="Calibri" w:hAnsi="Calibri" w:cs="Calibri"/>
                <w:sz w:val="22"/>
                <w:szCs w:val="22"/>
              </w:rPr>
              <w:t xml:space="preserve">ssentially a </w:t>
            </w:r>
            <w:r w:rsidRPr="00ED34C9">
              <w:rPr>
                <w:rStyle w:val="Strong"/>
                <w:rFonts w:ascii="Calibri" w:eastAsiaTheme="majorEastAsia" w:hAnsi="Calibri" w:cs="Calibri"/>
                <w:sz w:val="22"/>
                <w:szCs w:val="22"/>
              </w:rPr>
              <w:t>connection tool</w:t>
            </w:r>
            <w:r w:rsidRPr="00ED34C9">
              <w:rPr>
                <w:rFonts w:ascii="Calibri" w:hAnsi="Calibri" w:cs="Calibri"/>
                <w:sz w:val="22"/>
                <w:szCs w:val="22"/>
              </w:rPr>
              <w:t xml:space="preserve"> that helps students by:</w:t>
            </w:r>
          </w:p>
          <w:p w14:paraId="23ACADDE" w14:textId="77777777" w:rsidR="004F6838" w:rsidRPr="00ED34C9" w:rsidRDefault="004F6838" w:rsidP="004F6838">
            <w:pPr>
              <w:pStyle w:val="NormalWeb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ED34C9">
              <w:rPr>
                <w:rFonts w:ascii="Calibri" w:hAnsi="Calibri" w:cs="Calibri"/>
                <w:sz w:val="22"/>
                <w:szCs w:val="22"/>
              </w:rPr>
              <w:t xml:space="preserve">letting universities and employers </w:t>
            </w:r>
            <w:r w:rsidRPr="00ED34C9">
              <w:rPr>
                <w:rStyle w:val="Strong"/>
                <w:rFonts w:ascii="Calibri" w:eastAsiaTheme="majorEastAsia" w:hAnsi="Calibri" w:cs="Calibri"/>
                <w:sz w:val="22"/>
                <w:szCs w:val="22"/>
              </w:rPr>
              <w:t>reach out directly with relevant opportunities</w:t>
            </w:r>
            <w:r w:rsidRPr="00ED34C9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296D360" w14:textId="77777777" w:rsidR="004F6838" w:rsidRPr="00ED34C9" w:rsidRDefault="004F6838" w:rsidP="004F6838">
            <w:pPr>
              <w:pStyle w:val="NormalWeb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ED34C9">
              <w:rPr>
                <w:rFonts w:ascii="Calibri" w:hAnsi="Calibri" w:cs="Calibri"/>
                <w:sz w:val="22"/>
                <w:szCs w:val="22"/>
              </w:rPr>
              <w:t>providing tailored alerts about apprenticeships, courses, and events,</w:t>
            </w:r>
          </w:p>
          <w:p w14:paraId="59BB3966" w14:textId="3B09CBEE" w:rsidR="004F6838" w:rsidRDefault="004F6838" w:rsidP="004F6838">
            <w:pPr>
              <w:pStyle w:val="NormalWeb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ED34C9">
              <w:rPr>
                <w:rFonts w:ascii="Calibri" w:hAnsi="Calibri" w:cs="Calibri"/>
                <w:sz w:val="22"/>
                <w:szCs w:val="22"/>
              </w:rPr>
              <w:t>helping students focus on the next steps that suit their interests and qualificatio</w:t>
            </w:r>
            <w:r>
              <w:rPr>
                <w:rFonts w:ascii="Calibri" w:hAnsi="Calibri" w:cs="Calibri"/>
                <w:sz w:val="22"/>
                <w:szCs w:val="22"/>
              </w:rPr>
              <w:t>ns</w:t>
            </w:r>
          </w:p>
          <w:p w14:paraId="3B3D0BD3" w14:textId="2E96A091" w:rsidR="009F01BE" w:rsidRPr="00E14415" w:rsidRDefault="004F6838" w:rsidP="004F6838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Read, Watch Listen</w:t>
            </w:r>
            <w:r w:rsidR="00E14415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="00E14415">
              <w:rPr>
                <w:rFonts w:ascii="Calibri" w:hAnsi="Calibri" w:cs="Calibri"/>
                <w:sz w:val="22"/>
                <w:szCs w:val="22"/>
              </w:rPr>
              <w:t>A</w:t>
            </w:r>
            <w:r w:rsidR="000A367D" w:rsidRPr="00E14415">
              <w:rPr>
                <w:rFonts w:ascii="Calibri" w:hAnsi="Calibri" w:cs="Calibri"/>
                <w:sz w:val="22"/>
                <w:szCs w:val="22"/>
              </w:rPr>
              <w:t xml:space="preserve"> curated </w:t>
            </w:r>
            <w:r w:rsidR="00E14415" w:rsidRPr="00E14415">
              <w:rPr>
                <w:rFonts w:ascii="Calibri" w:hAnsi="Calibri" w:cs="Calibri"/>
                <w:sz w:val="22"/>
                <w:szCs w:val="22"/>
              </w:rPr>
              <w:t>library</w:t>
            </w:r>
            <w:r w:rsidR="000A367D" w:rsidRPr="00E14415">
              <w:rPr>
                <w:rFonts w:ascii="Calibri" w:hAnsi="Calibri" w:cs="Calibri"/>
                <w:sz w:val="22"/>
                <w:szCs w:val="22"/>
              </w:rPr>
              <w:t xml:space="preserve"> of resources to broaden and deepen </w:t>
            </w:r>
            <w:r w:rsidR="009F01BE" w:rsidRPr="00E14415">
              <w:rPr>
                <w:rFonts w:ascii="Calibri" w:hAnsi="Calibri" w:cs="Calibri"/>
                <w:sz w:val="22"/>
                <w:szCs w:val="22"/>
              </w:rPr>
              <w:t>students’ k</w:t>
            </w:r>
            <w:r w:rsidR="000A367D" w:rsidRPr="00E14415">
              <w:rPr>
                <w:rFonts w:ascii="Calibri" w:hAnsi="Calibri" w:cs="Calibri"/>
                <w:sz w:val="22"/>
                <w:szCs w:val="22"/>
              </w:rPr>
              <w:t>nowledge ab</w:t>
            </w:r>
            <w:r w:rsidR="009F01BE" w:rsidRPr="00E14415">
              <w:rPr>
                <w:rFonts w:ascii="Calibri" w:hAnsi="Calibri" w:cs="Calibri"/>
                <w:sz w:val="22"/>
                <w:szCs w:val="22"/>
              </w:rPr>
              <w:t xml:space="preserve">out things they are already interested in. For example, if you are interested in journalism, you can find relevant things to read, watch and listen to – like a Ted Talk by a journalist on what it means to work in the field </w:t>
            </w:r>
          </w:p>
          <w:p w14:paraId="79C3C7B7" w14:textId="67200553" w:rsidR="004F6838" w:rsidRPr="00E83F14" w:rsidRDefault="000A367D" w:rsidP="007D7EAA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0A367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F6838" w14:paraId="34168E15" w14:textId="77777777" w:rsidTr="007D7EAA">
        <w:trPr>
          <w:trHeight w:val="560"/>
        </w:trPr>
        <w:tc>
          <w:tcPr>
            <w:tcW w:w="9356" w:type="dxa"/>
          </w:tcPr>
          <w:p w14:paraId="5E2E5F9A" w14:textId="4CB8558A" w:rsidR="004F6838" w:rsidRPr="007D7EAA" w:rsidRDefault="004F6838" w:rsidP="007D7EAA">
            <w:pPr>
              <w:shd w:val="clear" w:color="auto" w:fill="FFFFFF"/>
              <w:spacing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E83F1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U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ni Taster Days</w:t>
            </w:r>
            <w:r w:rsidRPr="003A15A9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en-GB"/>
                <w14:ligatures w14:val="none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 </w:t>
            </w:r>
            <w:hyperlink r:id="rId13" w:history="1">
              <w:r w:rsidR="007D7EAA" w:rsidRPr="008442FF">
                <w:rPr>
                  <w:rStyle w:val="Hyperlink"/>
                  <w:rFonts w:ascii="Calibri" w:eastAsia="Times New Roman" w:hAnsi="Calibri" w:cs="Calibri"/>
                  <w:b/>
                  <w:bCs/>
                  <w:kern w:val="0"/>
                  <w:sz w:val="28"/>
                  <w:szCs w:val="28"/>
                  <w:lang w:eastAsia="en-GB"/>
                  <w14:ligatures w14:val="none"/>
                </w:rPr>
                <w:t>https://www.unitasterdays.com/</w:t>
              </w:r>
            </w:hyperlink>
          </w:p>
        </w:tc>
      </w:tr>
      <w:tr w:rsidR="007D7EAA" w14:paraId="2D9F136A" w14:textId="77777777" w:rsidTr="007D7EAA">
        <w:trPr>
          <w:trHeight w:val="1418"/>
        </w:trPr>
        <w:tc>
          <w:tcPr>
            <w:tcW w:w="9356" w:type="dxa"/>
          </w:tcPr>
          <w:p w14:paraId="72D35614" w14:textId="77777777" w:rsidR="007D7EAA" w:rsidRDefault="007D7EAA" w:rsidP="007D7EAA">
            <w:pPr>
              <w:shd w:val="clear" w:color="auto" w:fill="FFFFFF"/>
              <w:spacing w:after="100" w:afterAutospacing="1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What they offer to students </w:t>
            </w:r>
          </w:p>
          <w:p w14:paraId="309A3813" w14:textId="77777777" w:rsidR="007D7EAA" w:rsidRDefault="007D7EAA" w:rsidP="007D7EAA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A48B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Visit a university campus or virtual events</w:t>
            </w:r>
          </w:p>
          <w:p w14:paraId="0CB59844" w14:textId="10829A8E" w:rsidR="007D7EAA" w:rsidRPr="007D7EAA" w:rsidRDefault="007D7EAA" w:rsidP="004F683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A48B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Sample taster lectures, workshops or seminars in a subject area</w:t>
            </w:r>
          </w:p>
        </w:tc>
      </w:tr>
    </w:tbl>
    <w:p w14:paraId="6FCAB8EA" w14:textId="77777777" w:rsidR="006C6BC2" w:rsidRDefault="006C6BC2"/>
    <w:p w14:paraId="52703844" w14:textId="77777777" w:rsidR="006C6BC2" w:rsidRDefault="006C6BC2"/>
    <w:p w14:paraId="394AE1DA" w14:textId="77777777" w:rsidR="006C6BC2" w:rsidRDefault="006C6BC2"/>
    <w:p w14:paraId="4FFA2C04" w14:textId="77777777" w:rsidR="00F77E69" w:rsidRDefault="00F77E69"/>
    <w:sectPr w:rsidR="00F77E69" w:rsidSect="004C2461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0FF"/>
    <w:multiLevelType w:val="hybridMultilevel"/>
    <w:tmpl w:val="0E1CC114"/>
    <w:lvl w:ilvl="0" w:tplc="9A72A7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D6275"/>
    <w:multiLevelType w:val="multilevel"/>
    <w:tmpl w:val="C476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240CD"/>
    <w:multiLevelType w:val="multilevel"/>
    <w:tmpl w:val="6E86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504C1"/>
    <w:multiLevelType w:val="multilevel"/>
    <w:tmpl w:val="4486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D6055"/>
    <w:multiLevelType w:val="multilevel"/>
    <w:tmpl w:val="C58A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F6038"/>
    <w:multiLevelType w:val="hybridMultilevel"/>
    <w:tmpl w:val="4FBC4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511D7"/>
    <w:multiLevelType w:val="multilevel"/>
    <w:tmpl w:val="1714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B75A75"/>
    <w:multiLevelType w:val="hybridMultilevel"/>
    <w:tmpl w:val="00AC3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D5107"/>
    <w:multiLevelType w:val="hybridMultilevel"/>
    <w:tmpl w:val="A3301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75570"/>
    <w:multiLevelType w:val="multilevel"/>
    <w:tmpl w:val="F2C8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15409"/>
    <w:multiLevelType w:val="hybridMultilevel"/>
    <w:tmpl w:val="5C26A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D1F10"/>
    <w:multiLevelType w:val="multilevel"/>
    <w:tmpl w:val="A3AC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A92D9E"/>
    <w:multiLevelType w:val="multilevel"/>
    <w:tmpl w:val="9DF0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726194">
    <w:abstractNumId w:val="0"/>
  </w:num>
  <w:num w:numId="2" w16cid:durableId="394015742">
    <w:abstractNumId w:val="4"/>
  </w:num>
  <w:num w:numId="3" w16cid:durableId="2125493698">
    <w:abstractNumId w:val="9"/>
  </w:num>
  <w:num w:numId="4" w16cid:durableId="1542473361">
    <w:abstractNumId w:val="1"/>
  </w:num>
  <w:num w:numId="5" w16cid:durableId="210533212">
    <w:abstractNumId w:val="6"/>
  </w:num>
  <w:num w:numId="6" w16cid:durableId="1585607215">
    <w:abstractNumId w:val="5"/>
  </w:num>
  <w:num w:numId="7" w16cid:durableId="176385944">
    <w:abstractNumId w:val="7"/>
  </w:num>
  <w:num w:numId="8" w16cid:durableId="1378776407">
    <w:abstractNumId w:val="3"/>
  </w:num>
  <w:num w:numId="9" w16cid:durableId="1865973667">
    <w:abstractNumId w:val="8"/>
  </w:num>
  <w:num w:numId="10" w16cid:durableId="293021304">
    <w:abstractNumId w:val="10"/>
  </w:num>
  <w:num w:numId="11" w16cid:durableId="759570947">
    <w:abstractNumId w:val="2"/>
  </w:num>
  <w:num w:numId="12" w16cid:durableId="1586306199">
    <w:abstractNumId w:val="12"/>
  </w:num>
  <w:num w:numId="13" w16cid:durableId="19877850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61"/>
    <w:rsid w:val="00085493"/>
    <w:rsid w:val="000A367D"/>
    <w:rsid w:val="0013199F"/>
    <w:rsid w:val="0015076D"/>
    <w:rsid w:val="001B1C72"/>
    <w:rsid w:val="002177DE"/>
    <w:rsid w:val="002253B8"/>
    <w:rsid w:val="002617F3"/>
    <w:rsid w:val="0029733E"/>
    <w:rsid w:val="00312EAC"/>
    <w:rsid w:val="003A15A9"/>
    <w:rsid w:val="003B51F4"/>
    <w:rsid w:val="00425C09"/>
    <w:rsid w:val="004B5CB6"/>
    <w:rsid w:val="004C2461"/>
    <w:rsid w:val="004F6838"/>
    <w:rsid w:val="005310AA"/>
    <w:rsid w:val="00581EE2"/>
    <w:rsid w:val="006452F0"/>
    <w:rsid w:val="00654846"/>
    <w:rsid w:val="006B5326"/>
    <w:rsid w:val="006C2549"/>
    <w:rsid w:val="006C6BC2"/>
    <w:rsid w:val="007123AE"/>
    <w:rsid w:val="00744AD0"/>
    <w:rsid w:val="007D7EAA"/>
    <w:rsid w:val="008125E4"/>
    <w:rsid w:val="00837E2F"/>
    <w:rsid w:val="008F6AC1"/>
    <w:rsid w:val="009167BE"/>
    <w:rsid w:val="009F01BE"/>
    <w:rsid w:val="00A7697B"/>
    <w:rsid w:val="00AC36C4"/>
    <w:rsid w:val="00AE420F"/>
    <w:rsid w:val="00BE4E0D"/>
    <w:rsid w:val="00C002CA"/>
    <w:rsid w:val="00C52861"/>
    <w:rsid w:val="00C85B0C"/>
    <w:rsid w:val="00C95C31"/>
    <w:rsid w:val="00CE0A6B"/>
    <w:rsid w:val="00D16DCA"/>
    <w:rsid w:val="00DA387E"/>
    <w:rsid w:val="00E14415"/>
    <w:rsid w:val="00EA48BE"/>
    <w:rsid w:val="00EC49C0"/>
    <w:rsid w:val="00ED41EC"/>
    <w:rsid w:val="00F44849"/>
    <w:rsid w:val="00F7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704FB"/>
  <w15:chartTrackingRefBased/>
  <w15:docId w15:val="{75E7F320-8853-4ED4-9BF4-B98A8BE2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461"/>
  </w:style>
  <w:style w:type="paragraph" w:styleId="Heading1">
    <w:name w:val="heading 1"/>
    <w:basedOn w:val="Normal"/>
    <w:next w:val="Normal"/>
    <w:link w:val="Heading1Char"/>
    <w:uiPriority w:val="9"/>
    <w:qFormat/>
    <w:rsid w:val="004C2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4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7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77E69"/>
    <w:rPr>
      <w:b/>
      <w:bCs/>
    </w:rPr>
  </w:style>
  <w:style w:type="character" w:styleId="Hyperlink">
    <w:name w:val="Hyperlink"/>
    <w:basedOn w:val="DefaultParagraphFont"/>
    <w:uiPriority w:val="99"/>
    <w:unhideWhenUsed/>
    <w:rsid w:val="00C002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2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1EE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as.com/" TargetMode="External"/><Relationship Id="rId13" Type="http://schemas.openxmlformats.org/officeDocument/2006/relationships/hyperlink" Target="https://www.unitasterdays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ccessatschool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uturesforall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zerogravity.co.u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athwayctm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b5478a-0c63-4d6a-b9d0-e48711b44a78">
      <Terms xmlns="http://schemas.microsoft.com/office/infopath/2007/PartnerControls"/>
    </lcf76f155ced4ddcb4097134ff3c332f>
    <TaxCatchAll xmlns="aca4163a-7fd2-4d4e-8b0f-042cb13d40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99B5019F95341A157F5EC2099FC96" ma:contentTypeVersion="13" ma:contentTypeDescription="Create a new document." ma:contentTypeScope="" ma:versionID="3bebd2b0806868c8ee3167763d9f9904">
  <xsd:schema xmlns:xsd="http://www.w3.org/2001/XMLSchema" xmlns:xs="http://www.w3.org/2001/XMLSchema" xmlns:p="http://schemas.microsoft.com/office/2006/metadata/properties" xmlns:ns2="33b5478a-0c63-4d6a-b9d0-e48711b44a78" xmlns:ns3="aca4163a-7fd2-4d4e-8b0f-042cb13d405b" targetNamespace="http://schemas.microsoft.com/office/2006/metadata/properties" ma:root="true" ma:fieldsID="158489b4e082a76298109299827a152f" ns2:_="" ns3:_="">
    <xsd:import namespace="33b5478a-0c63-4d6a-b9d0-e48711b44a78"/>
    <xsd:import namespace="aca4163a-7fd2-4d4e-8b0f-042cb13d4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78a-0c63-4d6a-b9d0-e48711b44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7b6e6e7-4edc-46f7-9956-89b013691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4163a-7fd2-4d4e-8b0f-042cb13d405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d61d8-b41c-41eb-b2c8-1e8579c7ecac}" ma:internalName="TaxCatchAll" ma:showField="CatchAllData" ma:web="aca4163a-7fd2-4d4e-8b0f-042cb13d40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370C2-7A06-4A07-B4B9-6A1AE2A96C4C}">
  <ds:schemaRefs>
    <ds:schemaRef ds:uri="http://schemas.microsoft.com/office/2006/metadata/properties"/>
    <ds:schemaRef ds:uri="http://schemas.microsoft.com/office/infopath/2007/PartnerControls"/>
    <ds:schemaRef ds:uri="33b5478a-0c63-4d6a-b9d0-e48711b44a78"/>
    <ds:schemaRef ds:uri="aca4163a-7fd2-4d4e-8b0f-042cb13d405b"/>
  </ds:schemaRefs>
</ds:datastoreItem>
</file>

<file path=customXml/itemProps2.xml><?xml version="1.0" encoding="utf-8"?>
<ds:datastoreItem xmlns:ds="http://schemas.openxmlformats.org/officeDocument/2006/customXml" ds:itemID="{0326ADF4-BB09-4A0D-8DDD-85E0F4068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6E360-BA73-47D2-9031-2AC0A4785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5478a-0c63-4d6a-b9d0-e48711b44a78"/>
    <ds:schemaRef ds:uri="aca4163a-7fd2-4d4e-8b0f-042cb13d4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Purbrick</dc:creator>
  <cp:keywords/>
  <dc:description/>
  <cp:lastModifiedBy>Louise Purbrick</cp:lastModifiedBy>
  <cp:revision>32</cp:revision>
  <dcterms:created xsi:type="dcterms:W3CDTF">2026-03-02T16:40:00Z</dcterms:created>
  <dcterms:modified xsi:type="dcterms:W3CDTF">2026-03-12T15:44:00Z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0x0101000A499B5019F95341A157F5EC2099FC96</vt:lpwstr>
  </property>
  <property fmtid="{D5CDD505-2E9C-101B-9397-08002B2CF9AE}" pid="3" name="MediaServiceImageTags">
    <vt:lpwstr/>
  </property>
</Properties>
</file>